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A26844F">
      <w:pPr>
        <w:pStyle w:val="style94"/>
        <w:keepNext w:val="false"/>
        <w:keepLines w:val="false"/>
        <w:widowControl/>
        <w:suppressLineNumbers w:val="false"/>
        <w:bidi w:val="false"/>
        <w:spacing w:before="0" w:beforeAutospacing="false" w:after="0" w:afterAutospacing="false" w:lineRule="atLeast" w:line="18"/>
        <w:rPr/>
      </w:pPr>
    </w:p>
    <w:p w14:paraId="2655EED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br/>
      </w:r>
      <w:r>
        <w:rPr>
          <w:rFonts w:ascii="SimSun" w:cs="SimSun" w:eastAsia="SimSun" w:hAnsi="SimSun"/>
          <w:b w:val="false"/>
          <w:bCs w:val="false"/>
          <w:kern w:val="0"/>
          <w:sz w:val="24"/>
          <w:szCs w:val="24"/>
          <w:lang w:val="en-US" w:eastAsia="zh-CN"/>
        </w:rPr>
        <w:t>JUDUL</w:t>
      </w:r>
    </w:p>
    <w:p w14:paraId="AC1C099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14A4D45B">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HALALYOUTH:</w:t>
      </w:r>
    </w:p>
    <w:p w14:paraId="7DFF52B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MODEL EKOSISTEM DIGITAL UNTUK MENGUBAH GENERASI MUDA DARI PENGGUNA MENJADI PENGGERAK EKONOMI SYARIAH</w:t>
      </w:r>
    </w:p>
    <w:p w14:paraId="5C17C9E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7E99130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ABSTRAK</w:t>
      </w:r>
    </w:p>
    <w:p w14:paraId="824F5C6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C9D688D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Perkembangan teknologi digital memberikan peluang besar bagi pertumbuhan ekonomi syariah. Generasi muda yang memiliki kedekatan dengan teknologi dapat menjadi kekuatan penting dalam membangun ekosistem ekonomi syariah. Namun, tingginya penggunaan teknologi belum selalu diikuti oleh pemahaman ekonomi syariah yang memadai. Survei Nasional Literasi Ekonomi Syariah 2025 yang dilakukan Bank Indonesia mencatat indeks literasi ekonomi syariah sebesar 50,18%. Di sisi lain, sektor ekonomi syariah Indonesia tetap menunjukkan pertumbuhan positif sebesar 6,21% pada 2025. Kondisi tersebut menunjukkan adanya peluang besar sekaligus kebutuhan untuk memperkuat literasi generasi muda. Karya tulis ini menawarkan HALALYOUTH, yaitu model ekosistem digital yang mengintegrasikan pembelajaran ekonomi syariah, pengenalan produk halal, promosi UMKM, tantangan kewirausahaan, dan pengukuran dampak. Model ini menggunakan tiga tahapan utama, yaitu Learn, Act, dan Impact. Melalui pendekatan tersebut, generasi muda tidak hanya menjadi konsumen ekonomi digital, tetapi juga menjadi pelaku, edukator, dan inovator ekonomi syariah. Gagasan ini diharapkan dapat meningkatkan literasi sekaligus mendorong partisipasi nyata generasi muda dalam pengembangan ekonomi syariah.</w:t>
      </w:r>
    </w:p>
    <w:p w14:paraId="CF7C66C2">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3ED2A5B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Kata kunci: digitalisasi, ekonomi syariah, generasi muda, literasi, UMKM halal</w:t>
      </w:r>
    </w:p>
    <w:p w14:paraId="566913D9">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15264E7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BAB I</w:t>
      </w:r>
    </w:p>
    <w:p w14:paraId="80D105D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PENDAHULUAN</w:t>
      </w:r>
    </w:p>
    <w:p w14:paraId="1EC9E71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3E4C487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1.1 Latar Belakang</w:t>
      </w:r>
    </w:p>
    <w:p w14:paraId="5755438A">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B89B004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Transformasi digital telah mengubah pola kehidupan masyarakat. Teknologi memungkinkan seseorang memperoleh informasi, membeli produk, melakukan pembayaran, serta membangun usaha melalui perangkat digital.</w:t>
      </w:r>
    </w:p>
    <w:p w14:paraId="1CE21C20">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6931317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Perubahan tersebut menjadi peluang besar bagi ekonomi syariah. Bank Indonesia mencatat bahwa ekonomi syariah Indonesia tumbuh 6,21% pada 2025, menunjukkan bahwa sektor ini semakin memiliki peran dalam perekonomian nasional.</w:t>
      </w:r>
    </w:p>
    <w:p w14:paraId="B4E3F91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4F61FD8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Namun, pertumbuhan ekonomi syariah membutuhkan masyarakat yang memahami prinsip-prinsipnya. Survei Nasional Literasi Ekonomi Syariah 2025 menunjukkan indeks literasi ekonomi syariah sebesar 50,18%. Survei tersebut mencakup pemahaman istilah ekonomi syariah, lembaga keuangan dan dana sosial, produk halal, pengelolaan keuangan, numerasi, serta sikap terhadap masa depan.</w:t>
      </w:r>
    </w:p>
    <w:p w14:paraId="91CB2B2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2FB3877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Data tersebut menunjukkan bahwa masih terdapat ruang besar untuk meningkatkan literasi ekonomi syariah.</w:t>
      </w:r>
    </w:p>
    <w:p w14:paraId="8A1BCBA9">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DD9FC64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Generasi muda merupakan kelompok strategis karena memiliki kedekatan dengan media sosial, perdagangan elektronik, pembayaran digital, dan berbagai teknologi lainnya. Sayangnya, kemampuan menggunakan teknologi belum otomatis berarti kemampuan memahami ekonomi syariah.</w:t>
      </w:r>
    </w:p>
    <w:p w14:paraId="450CAF6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78E519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Oleh karena itu, diperlukan pendekatan yang menghubungkan teknologi, literasi, dan tindakan nyata.</w:t>
      </w:r>
    </w:p>
    <w:p w14:paraId="15DEC64A">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9579F09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1.2 Rumusan Masalah</w:t>
      </w:r>
    </w:p>
    <w:p w14:paraId="3303A13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E97403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1. Bagaimana digitalisasi dapat dimanfaatkan untuk meningkatkan literasi ekonomi syariah?</w:t>
      </w:r>
    </w:p>
    <w:p w14:paraId="486450EB">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 Apa tantangan generasi muda dalam memahami ekonomi syariah di era digital?</w:t>
      </w:r>
    </w:p>
    <w:p w14:paraId="B647A34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3. Bagaimana model HALALYOUTH dapat meningkatkan partisipasi generasi muda?</w:t>
      </w:r>
    </w:p>
    <w:p w14:paraId="A9B1923E">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6181C19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1.3 Tujuan</w:t>
      </w:r>
    </w:p>
    <w:p w14:paraId="1A9B280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4689353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1. Menganalisis peluang digitalisasi ekonomi syariah.</w:t>
      </w:r>
    </w:p>
    <w:p w14:paraId="07A112E2">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 Meningkatkan literasi ekonomi syariah generasi muda.</w:t>
      </w:r>
    </w:p>
    <w:p w14:paraId="A2DBAE6E">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3. Merancang model digital yang mendorong generasi muda menjadi penggerak ekonomi syariah.</w:t>
      </w:r>
    </w:p>
    <w:p w14:paraId="4BAD5BB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0548DF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BAB II</w:t>
      </w:r>
    </w:p>
    <w:p w14:paraId="4BC895F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PEMBAHASAN</w:t>
      </w:r>
    </w:p>
    <w:p w14:paraId="757BD96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806B5097">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2.1 Kesenjangan Digital dan Literasi</w:t>
      </w:r>
    </w:p>
    <w:p w14:paraId="51A82A87">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B85D0C2E">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Permasalahan utama bukan kurangnya teknologi, tetapi kesenjangan antara kemampuan menggunakan teknologi dan kemampuan memahami aktivitas ekonomi yang dilakukan melalui teknologi.</w:t>
      </w:r>
    </w:p>
    <w:p w14:paraId="222EB83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CE1B943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Generasi muda dapat dengan mudah melakukan transaksi digital, tetapi tetap membutuhkan pengetahuan untuk memahami prinsip halal, keadilan, keamanan transaksi, pengelolaan keuangan, dan tanggung jawab sebagai konsumen.</w:t>
      </w:r>
    </w:p>
    <w:p w14:paraId="E230A7E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4C8B45E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2.2 HALALYOUTH</w:t>
      </w:r>
    </w:p>
    <w:p w14:paraId="E202910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1868F2DA">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HALALYOUTH merupakan model ekosistem digital yang menggabungkan:</w:t>
      </w:r>
    </w:p>
    <w:p w14:paraId="4DBE5478">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5456E9D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1. Learn</w:t>
      </w:r>
    </w:p>
    <w:p w14:paraId="A16D0012">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 Act</w:t>
      </w:r>
    </w:p>
    <w:p w14:paraId="B6EC0B9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3. Impact</w:t>
      </w:r>
    </w:p>
    <w:p w14:paraId="FCD1A027">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1550B11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LEARN</w:t>
      </w:r>
    </w:p>
    <w:p w14:paraId="D199C76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3DD62A1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Pengguna memperoleh materi ekonomi syariah melalui pembelajaran singkat dan interaktif.</w:t>
      </w:r>
    </w:p>
    <w:p w14:paraId="AEA70EA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4CFC9D0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ACT</w:t>
      </w:r>
    </w:p>
    <w:p w14:paraId="07F163E7">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F869D3FE">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Pengguna mengikuti kegiatan nyata seperti mempromosikan UMKM halal, membuat konten edukasi, dan mengikuti tantangan kewirausahaan.</w:t>
      </w:r>
    </w:p>
    <w:p w14:paraId="0D96D0E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C83A3C87">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IMPACT</w:t>
      </w:r>
    </w:p>
    <w:p w14:paraId="ED609748">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49175C7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Dampak diukur melalui peningkatan pengetahuan, jumlah kegiatan, jumlah UMKM yang dipromosikan, dan ide bisnis yang dihasilkan.</w:t>
      </w:r>
    </w:p>
    <w:p w14:paraId="6A107EFE">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5EFFF25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2.3 Fitur HALALYOUTH</w:t>
      </w:r>
    </w:p>
    <w:p w14:paraId="FAEF50C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FDC0C392">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a. Halal Learn</w:t>
      </w:r>
    </w:p>
    <w:p w14:paraId="9E726129">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3B60CC4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Materi singkat mengenai ekonomi syariah.</w:t>
      </w:r>
    </w:p>
    <w:p w14:paraId="82680428">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8736E5E0">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b. Halal Check</w:t>
      </w:r>
    </w:p>
    <w:p w14:paraId="051C979A">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00ED7CC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Edukasi mengenai cara mencari dan memverifikasi informasi halal melalui sumber resmi.</w:t>
      </w:r>
    </w:p>
    <w:p w14:paraId="2BCC9E4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9FCEF39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c. UMKM Halal Map</w:t>
      </w:r>
    </w:p>
    <w:p w14:paraId="037E9E1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2B28B66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Direktori edukatif yang memperkenalkan UMKM halal lokal.</w:t>
      </w:r>
    </w:p>
    <w:p w14:paraId="33E0E87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FCCE44C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d. Youth Challenge</w:t>
      </w:r>
    </w:p>
    <w:p w14:paraId="1902B31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B6D2E8A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Tantangan untuk menerapkan pengetahuan ekonomi syariah.</w:t>
      </w:r>
    </w:p>
    <w:p w14:paraId="BF0E7BB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5F7F6DA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e. Impact Point</w:t>
      </w:r>
    </w:p>
    <w:p w14:paraId="4957F8E2">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61FE53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Sistem apresiasi berdasarkan aktivitas positif dan pembelajaran.</w:t>
      </w:r>
    </w:p>
    <w:p w14:paraId="108E825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EA14A59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2.4 Implementasi di Sumatera Barat</w:t>
      </w:r>
    </w:p>
    <w:p w14:paraId="675A0BB0">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36715C7">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HALALYOUTH dapat dimulai melalui sekolah-sekolah di Sumatera Barat.</w:t>
      </w:r>
    </w:p>
    <w:p w14:paraId="7C846CA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DD7CFA89">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Peserta dapat diberikan tantangan untuk menemukan UMKM halal di daerahnya, mempelajari produk, membuat konten edukatif, kemudian mempromosikannya.</w:t>
      </w:r>
    </w:p>
    <w:p w14:paraId="B405D62C">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7E85F4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Dengan demikian, ekonomi syariah tidak hanya dipelajari sebagai teori tetapi diterapkan dalam kehidupan sehari-hari.</w:t>
      </w:r>
    </w:p>
    <w:p w14:paraId="FC119671">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A4EBAAA9">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BAB III</w:t>
      </w:r>
    </w:p>
    <w:p w14:paraId="8FD488A6">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PENUTUP</w:t>
      </w:r>
    </w:p>
    <w:p w14:paraId="2C1C2AE5">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17B2C31A">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3.1 Kesimpulan</w:t>
      </w:r>
    </w:p>
    <w:p w14:paraId="471FDFAF">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4F56EF1E">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Digitalisasi merupakan peluang besar bagi ekonomi syariah, tetapi harus disertai peningkatan literasi. Generasi muda memiliki potensi menjadi penggerak karena memiliki kedekatan dengan teknologi.</w:t>
      </w:r>
    </w:p>
    <w:p w14:paraId="503CC4A3">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53B805BD">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HALALYOUTH menawarkan pendekatan Learn, Act, Impact untuk mengubah generasi muda dari pengguna menjadi penggerak ekonomi syariah.</w:t>
      </w:r>
    </w:p>
    <w:p w14:paraId="9292F824">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6AA6A4DB">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r>
        <w:rPr>
          <w:rFonts w:ascii="SimSun" w:cs="SimSun" w:eastAsia="SimSun" w:hAnsi="SimSun"/>
          <w:b w:val="false"/>
          <w:bCs w:val="false"/>
          <w:kern w:val="0"/>
          <w:sz w:val="24"/>
          <w:szCs w:val="24"/>
          <w:lang w:val="en-US" w:eastAsia="zh-CN"/>
        </w:rPr>
        <w:t>3.2 Saran</w:t>
      </w:r>
    </w:p>
    <w:p w14:paraId="7126A69A">
      <w:pPr>
        <w:pStyle w:val="style0"/>
        <w:keepNext w:val="false"/>
        <w:keepLines w:val="false"/>
        <w:widowControl/>
        <w:suppressLineNumbers w:val="false"/>
        <w:spacing w:after="240" w:afterAutospacing="false"/>
        <w:jc w:val="left"/>
        <w:rPr>
          <w:rFonts w:ascii="SimSun" w:cs="SimSun" w:eastAsia="SimSun" w:hAnsi="SimSun"/>
          <w:b w:val="false"/>
          <w:bCs w:val="false"/>
          <w:kern w:val="0"/>
          <w:sz w:val="24"/>
          <w:szCs w:val="24"/>
          <w:lang w:val="en-US" w:eastAsia="zh-CN"/>
        </w:rPr>
      </w:pPr>
    </w:p>
    <w:p w14:paraId="0E444492">
      <w:pPr>
        <w:pStyle w:val="style0"/>
        <w:keepNext w:val="false"/>
        <w:keepLines w:val="false"/>
        <w:widowControl/>
        <w:suppressLineNumbers w:val="false"/>
        <w:spacing w:after="240" w:afterAutospacing="false"/>
        <w:jc w:val="left"/>
        <w:rPr/>
      </w:pPr>
      <w:r>
        <w:rPr>
          <w:rFonts w:ascii="SimSun" w:cs="SimSun" w:eastAsia="SimSun" w:hAnsi="SimSun"/>
          <w:b w:val="false"/>
          <w:bCs w:val="false"/>
          <w:kern w:val="0"/>
          <w:sz w:val="24"/>
          <w:szCs w:val="24"/>
          <w:lang w:val="en-US" w:eastAsia="zh-CN"/>
        </w:rPr>
        <w:t>Sekolah, pemerintah, pelaku UMKM, dan lembaga ekonomi syariah perlu berkolaborasi dalam menciptakan ruang bagi generasi muda untuk belajar dan berinovasi.</w:t>
      </w:r>
      <w:r>
        <w:rPr>
          <w:rFonts w:ascii="SimSun" w:cs="SimSun" w:eastAsia="SimSun" w:hAnsi="SimSun"/>
          <w:b w:val="false"/>
          <w:bCs w:val="false"/>
          <w:kern w:val="0"/>
          <w:sz w:val="24"/>
          <w:szCs w:val="24"/>
          <w:lang w:val="en-US" w:eastAsia="zh-CN"/>
        </w:rPr>
        <w:br/>
      </w:r>
      <w:bookmarkStart w:id="0" w:name="_GoBack"/>
      <w:bookmarkEnd w:id="0"/>
    </w:p>
    <w:p w14:paraId="444635F9">
      <w:pPr>
        <w:pStyle w:val="style94"/>
        <w:keepNext w:val="false"/>
        <w:keepLines w:val="false"/>
        <w:widowControl/>
        <w:numPr>
          <w:ilvl w:val="0"/>
          <w:numId w:val="0"/>
        </w:numPr>
        <w:suppressLineNumbers w:val="false"/>
        <w:bidi w:val="false"/>
        <w:spacing w:before="0" w:beforeAutospacing="false" w:after="0" w:afterAutospacing="false" w:lineRule="atLeast" w:line="21"/>
        <w:ind w:left="0" w:firstLine="0"/>
        <w:rPr/>
      </w:pPr>
    </w:p>
    <w:p w14:paraId="3CE0E86C">
      <w:pPr>
        <w:pStyle w:val="style94"/>
        <w:keepNext w:val="false"/>
        <w:keepLines w:val="false"/>
        <w:widowControl/>
        <w:numPr>
          <w:ilvl w:val="0"/>
          <w:numId w:val="0"/>
        </w:numPr>
        <w:suppressLineNumbers w:val="false"/>
        <w:bidi w:val="false"/>
        <w:spacing w:before="0" w:beforeAutospacing="false" w:after="0" w:afterAutospacing="false" w:lineRule="atLeast" w:line="21"/>
        <w:ind w:left="0" w:firstLine="0"/>
        <w:rPr/>
      </w:pPr>
    </w:p>
    <w:p w14:paraId="000C5A25">
      <w:pPr>
        <w:pStyle w:val="style94"/>
        <w:keepNext w:val="false"/>
        <w:keepLines w:val="false"/>
        <w:widowControl/>
        <w:numPr>
          <w:ilvl w:val="0"/>
          <w:numId w:val="0"/>
        </w:numPr>
        <w:suppressLineNumbers w:val="false"/>
        <w:bidi w:val="false"/>
        <w:spacing w:before="0" w:beforeAutospacing="false" w:after="0" w:afterAutospacing="false" w:lineRule="atLeast" w:line="21"/>
        <w:ind w:left="0" w:firstLine="0"/>
        <w:rPr/>
      </w:pPr>
    </w:p>
    <w:p w14:paraId="16B7E7D0">
      <w:pPr>
        <w:pStyle w:val="style0"/>
        <w:keepNext w:val="false"/>
        <w:keepLines w:val="false"/>
        <w:widowControl/>
        <w:suppressLineNumbers w:val="false"/>
        <w:jc w:val="left"/>
        <w:rPr/>
      </w:pPr>
    </w:p>
    <w:p w14:paraId="0F01E9FB">
      <w:pPr>
        <w:pStyle w:val="style0"/>
        <w:rPr/>
      </w:pPr>
    </w:p>
    <w:sectPr>
      <w:pgSz w:w="11906" w:h="16838" w:orient="portrait"/>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2010600030000010101"/>
    <w:charset w:val="86"/>
    <w:family w:val="auto"/>
    <w:pitch w:val="variable"/>
    <w:sig w:usb0="00000003" w:usb1="080E0000" w:usb2="00000010" w:usb3="00000000" w:csb0="00040001" w:csb1="00000000"/>
  </w:font>
  <w:font w:name="SimSun">
    <w:altName w:val="SimSun"/>
    <w:panose1 w:val="02010600030000010101"/>
    <w:charset w:val="86"/>
    <w:family w:val="auto"/>
    <w:pitch w:val="default"/>
    <w:sig w:usb0="00000203" w:usb1="288F0000" w:usb2="00000006" w:usb3="00000000" w:csb0="00040001" w:csb1="00000000"/>
  </w:font>
  <w:font w:name="Arial">
    <w:altName w:val="Arial"/>
    <w:panose1 w:val="020b0604020000020204"/>
    <w:charset w:val="00"/>
    <w:family w:val="swiss"/>
    <w:pitch w:val="default"/>
    <w:sig w:usb0="E0002EFF" w:usb1="C000785B" w:usb2="00000009" w:usb3="00000000" w:csb0="400001FF" w:csb1="FFFF0000"/>
  </w:font>
  <w:font w:name="黑体">
    <w:altName w:val="SimSun"/>
    <w:panose1 w:val="02010600030000010101"/>
    <w:charset w:val="86"/>
    <w:family w:val="auto"/>
    <w:pitch w:val="default"/>
    <w:sig w:usb0="00000001" w:usb1="080E0000" w:usb2="00000010" w:usb3="00000000" w:csb0="00040000" w:csb1="00000000"/>
  </w:font>
  <w:font w:name="Courier New">
    <w:altName w:val="Courier New"/>
    <w:panose1 w:val="02070309020000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0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val="bestFit" w:percent="154"/>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rPr>
    </w:rPrDefault>
    <w:pPrDefault>
      <w:pPr/>
    </w:pPrDefault>
  </w:docDefaults>
  <w:style w:type="paragraph" w:default="1" w:styleId="style0">
    <w:name w:val="Normal"/>
    <w:next w:val="style0"/>
    <w:qFormat/>
    <w:uiPriority w:val="0"/>
    <w:pPr/>
    <w:rPr>
      <w:rFonts w:ascii="Calibri" w:cs="宋体" w:eastAsia="宋体" w:hAnsi="Calibri"/>
      <w:lang w:val="en-US" w:bidi="ar-SA"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94">
    <w:name w:val="Normal (Web)"/>
    <w:next w:val="style94"/>
    <w:uiPriority w:val="0"/>
    <w:pPr>
      <w:spacing w:before="0" w:beforeAutospacing="true" w:after="0" w:afterAutospacing="true"/>
      <w:ind w:left="0" w:right="0"/>
      <w:jc w:val="left"/>
    </w:pPr>
    <w:rPr>
      <w:kern w:val="0"/>
      <w:sz w:val="24"/>
      <w:szCs w:val="24"/>
      <w:lang w:val="en-US"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676</Words>
  <Pages>1</Pages>
  <Characters>4786</Characters>
  <Application>WPS Office</Application>
  <DocSecurity>0</DocSecurity>
  <Paragraphs>117</Paragraphs>
  <ScaleCrop>false</ScaleCrop>
  <LinksUpToDate>false</LinksUpToDate>
  <CharactersWithSpaces>5401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2026-08-11T00:50:00Z</dcterms:created>
  <dc:creator>Mitra Fitria</dc:creator>
  <lastModifiedBy>RMX3834</lastModifiedBy>
  <dcterms:modified xsi:type="dcterms:W3CDTF">2026-10-08T12:18:27Z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4c5bdf974b1c402196b25937c2ae2371_23</vt:lpwstr>
  </property>
</Properties>
</file>